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6" w:rsidRPr="00C127F1" w:rsidRDefault="00B92CD6" w:rsidP="00B92CD6">
      <w:pPr>
        <w:pStyle w:val="rozdzial"/>
      </w:pPr>
      <w:bookmarkStart w:id="0" w:name="_GoBack"/>
      <w:bookmarkEnd w:id="0"/>
      <w:r w:rsidRPr="00C127F1">
        <w:t>Przedmioto</w:t>
      </w:r>
      <w:r w:rsidR="00070DF2">
        <w:t xml:space="preserve">wy system oceniania </w:t>
      </w:r>
    </w:p>
    <w:tbl>
      <w:tblPr>
        <w:tblW w:w="0" w:type="auto"/>
        <w:tblLook w:val="0000"/>
      </w:tblPr>
      <w:tblGrid>
        <w:gridCol w:w="6195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/>
            </w:tblPr>
            <w:tblGrid>
              <w:gridCol w:w="5859"/>
            </w:tblGrid>
            <w:tr w:rsidR="00372F93" w:rsidRPr="00A65C1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 xml:space="preserve">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pojęcie gęstości; podaje związek gęstości z masą i objętością oraz jednostkę </w:t>
            </w:r>
            <w:r w:rsidRPr="00C127F1">
              <w:lastRenderedPageBreak/>
              <w:t>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lastRenderedPageBreak/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</w:t>
            </w:r>
            <w:r w:rsidRPr="00C127F1">
              <w:lastRenderedPageBreak/>
              <w:t>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</w:t>
            </w:r>
            <w:r w:rsidRPr="00C127F1">
              <w:lastRenderedPageBreak/>
              <w:t xml:space="preserve">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lastRenderedPageBreak/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 xml:space="preserve">śnieniem, parciem i polem powierzchni, </w:t>
            </w:r>
            <w:r w:rsidRPr="00C127F1">
              <w:lastRenderedPageBreak/>
              <w:t>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</w:t>
            </w:r>
            <w:r w:rsidRPr="00C127F1">
              <w:lastRenderedPageBreak/>
              <w:t xml:space="preserve">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AB3A09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AB3A09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 xml:space="preserve">wiadczenie </w:t>
            </w:r>
            <w:r w:rsidRPr="0011106B">
              <w:lastRenderedPageBreak/>
              <w:t>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AB3A09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AB3A09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AB3A09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AB3A09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lastRenderedPageBreak/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AB3A09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AB3A09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AB3A09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AB3A09"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</w:t>
            </w:r>
            <w:r w:rsidRPr="00C127F1">
              <w:lastRenderedPageBreak/>
              <w:t>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lastRenderedPageBreak/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AB3A09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AB3A09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AB3A09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AB3A09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AB3A09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AB3A09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AB3A09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AB3A09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AB3A09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AB3A09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AB3A09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AB3A09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AB3A09" w:rsidRPr="00547B85">
              <w:fldChar w:fldCharType="end"/>
            </w:r>
            <w:r w:rsidRPr="00C127F1">
              <w:t xml:space="preserve">, zależności </w:t>
            </w:r>
            <w:r w:rsidR="00AB3A09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AB3A09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AB3A09"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lastRenderedPageBreak/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791A66" w:rsidRPr="00AA4615" w:rsidRDefault="00AA4615" w:rsidP="00791A66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w:lastRenderedPageBreak/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070DF2" w:rsidRPr="00512715" w:rsidRDefault="00791A66" w:rsidP="00070DF2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  <w:r w:rsidR="00070DF2" w:rsidRPr="00070D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0DF2" w:rsidRPr="00372F93">
        <w:rPr>
          <w:rFonts w:ascii="Times New Roman" w:hAnsi="Times New Roman" w:cs="Times New Roman"/>
          <w:b/>
          <w:bCs/>
          <w:sz w:val="20"/>
          <w:szCs w:val="20"/>
        </w:rPr>
        <w:t xml:space="preserve">Sposoby </w:t>
      </w:r>
      <w:r w:rsidR="00070DF2"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070DF2" w:rsidRPr="00512715" w:rsidRDefault="00070DF2" w:rsidP="00070DF2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070DF2" w:rsidRPr="00512715" w:rsidRDefault="00070DF2" w:rsidP="00070DF2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070DF2" w:rsidRPr="00512715" w:rsidRDefault="00070DF2" w:rsidP="00070DF2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070DF2" w:rsidRPr="00512715" w:rsidRDefault="00070DF2" w:rsidP="00070DF2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E7" w:rsidRDefault="00FA35E7" w:rsidP="00BD0596">
      <w:r>
        <w:separator/>
      </w:r>
    </w:p>
  </w:endnote>
  <w:endnote w:type="continuationSeparator" w:id="0">
    <w:p w:rsidR="00FA35E7" w:rsidRDefault="00FA35E7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E7" w:rsidRDefault="00FA35E7" w:rsidP="00BD0596">
      <w:r>
        <w:separator/>
      </w:r>
    </w:p>
  </w:footnote>
  <w:footnote w:type="continuationSeparator" w:id="0">
    <w:p w:rsidR="00FA35E7" w:rsidRDefault="00FA35E7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AB3A09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0" type="#_x0000_t202" style="position:absolute;margin-left:-.15pt;margin-top:27.8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<v:textbox inset=",0,,0">
            <w:txbxContent>
              <w:p w:rsidR="00BD0596" w:rsidRPr="00A65C11" w:rsidRDefault="00AB3A09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BD0596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070DF2" w:rsidRPr="00070DF2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18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Pole tekstowe 473" o:spid="_x0000_s2049" type="#_x0000_t202" style="position:absolute;margin-left:35.9pt;margin-top:27.9pt;width:122.9pt;height:17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<v:textbox inset=",0,,0">
            <w:txbxContent>
              <w:p w:rsidR="00BD0596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BD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663C1"/>
    <w:rsid w:val="00070DF2"/>
    <w:rsid w:val="000E7C17"/>
    <w:rsid w:val="00214DAF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B3A09"/>
    <w:rsid w:val="00AF6613"/>
    <w:rsid w:val="00B52C19"/>
    <w:rsid w:val="00B74762"/>
    <w:rsid w:val="00B92CD6"/>
    <w:rsid w:val="00BD0596"/>
    <w:rsid w:val="00C0057D"/>
    <w:rsid w:val="00C7648F"/>
    <w:rsid w:val="00D13C98"/>
    <w:rsid w:val="00D3238A"/>
    <w:rsid w:val="00D53539"/>
    <w:rsid w:val="00D66680"/>
    <w:rsid w:val="00E35AE6"/>
    <w:rsid w:val="00ED323E"/>
    <w:rsid w:val="00EE3083"/>
    <w:rsid w:val="00EF64B8"/>
    <w:rsid w:val="00F44A1C"/>
    <w:rsid w:val="00F61ECD"/>
    <w:rsid w:val="00F96035"/>
    <w:rsid w:val="00FA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C98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D13C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D13C98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D13C98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D13C98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D13C98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D13C98"/>
    <w:pPr>
      <w:jc w:val="center"/>
    </w:pPr>
  </w:style>
  <w:style w:type="character" w:customStyle="1" w:styleId="dzial-B">
    <w:name w:val="dzial-B"/>
    <w:uiPriority w:val="99"/>
    <w:rsid w:val="00D13C98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71AB-5B26-4E7E-BC56-2EA4433A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7367</Words>
  <Characters>44204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Asus</cp:lastModifiedBy>
  <cp:revision>4</cp:revision>
  <cp:lastPrinted>2017-09-11T20:26:00Z</cp:lastPrinted>
  <dcterms:created xsi:type="dcterms:W3CDTF">2017-09-10T19:04:00Z</dcterms:created>
  <dcterms:modified xsi:type="dcterms:W3CDTF">2017-09-11T20:26:00Z</dcterms:modified>
</cp:coreProperties>
</file>